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F0125B" w:rsidP="00D10E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1</w:t>
            </w:r>
            <w:r w:rsidR="00D10EB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02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92D" w:rsidRPr="00E530D6" w:rsidRDefault="006163D0" w:rsidP="00C7492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Síť rybníků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5B6D79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4B536C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Symbolické</w:t>
            </w:r>
            <w:r w:rsidR="00AC1FC0">
              <w:rPr>
                <w:rFonts w:eastAsia="Times New Roman" w:cs="Calibri"/>
                <w:color w:val="000000"/>
                <w:lang w:eastAsia="cs-CZ"/>
              </w:rPr>
              <w:t xml:space="preserve"> představení rybníků Štěpánka Netolického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E064C9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943AC8" w:rsidP="005976EA">
            <w:pPr>
              <w:pStyle w:val="Bezmez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lang w:eastAsia="cs-CZ"/>
              </w:rPr>
              <w:t>S</w:t>
            </w:r>
            <w:r w:rsidRPr="00E55258">
              <w:rPr>
                <w:lang w:eastAsia="cs-CZ"/>
              </w:rPr>
              <w:t>íť symbolizuje síť rybníků, geografickou souřadnou síť, tato představa je spojena s rozvojem geodézie a stavitelských dovedností rybníkářů a v neposlední řadě je propojkou s rybářskou sítí</w:t>
            </w:r>
            <w:r w:rsidR="005976EA">
              <w:rPr>
                <w:lang w:eastAsia="cs-CZ"/>
              </w:rPr>
              <w:t>.</w:t>
            </w:r>
            <w:r w:rsidR="00E064C9">
              <w:rPr>
                <w:lang w:eastAsia="cs-CZ"/>
              </w:rPr>
              <w:t xml:space="preserve"> Zve návštěvníka do expozice a navozuje téma.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536C" w:rsidRDefault="00E064C9" w:rsidP="004B536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Síť je umístěna tak</w:t>
            </w:r>
            <w:r w:rsidR="00D10EBC">
              <w:rPr>
                <w:lang w:eastAsia="cs-CZ"/>
              </w:rPr>
              <w:t>,</w:t>
            </w:r>
            <w:r>
              <w:rPr>
                <w:lang w:eastAsia="cs-CZ"/>
              </w:rPr>
              <w:t xml:space="preserve"> </w:t>
            </w:r>
            <w:r w:rsidR="004B536C">
              <w:rPr>
                <w:lang w:eastAsia="cs-CZ"/>
              </w:rPr>
              <w:t>aby nezakrývala renesanční prvky architektury</w:t>
            </w:r>
            <w:r w:rsidR="00D10EBC">
              <w:rPr>
                <w:lang w:eastAsia="cs-CZ"/>
              </w:rPr>
              <w:t>.</w:t>
            </w:r>
            <w:r w:rsidR="004B536C">
              <w:rPr>
                <w:lang w:eastAsia="cs-CZ"/>
              </w:rPr>
              <w:t xml:space="preserve"> </w:t>
            </w:r>
            <w:r w:rsidR="00D10EBC">
              <w:rPr>
                <w:lang w:eastAsia="cs-CZ"/>
              </w:rPr>
              <w:t xml:space="preserve">Jde o </w:t>
            </w:r>
            <w:r w:rsidR="00943AC8">
              <w:rPr>
                <w:lang w:eastAsia="cs-CZ"/>
              </w:rPr>
              <w:t>provazovou</w:t>
            </w:r>
            <w:r w:rsidR="0047743D">
              <w:rPr>
                <w:lang w:eastAsia="cs-CZ"/>
              </w:rPr>
              <w:t xml:space="preserve"> síť</w:t>
            </w:r>
            <w:r w:rsidR="00FB2B58">
              <w:rPr>
                <w:lang w:eastAsia="cs-CZ"/>
              </w:rPr>
              <w:t xml:space="preserve"> (</w:t>
            </w:r>
            <w:r w:rsidR="00FB2B58" w:rsidRPr="00FB2B58">
              <w:rPr>
                <w:lang w:eastAsia="cs-CZ"/>
              </w:rPr>
              <w:t xml:space="preserve">konopné lano, vázaný spoj, oko cca 10 cm, </w:t>
            </w:r>
            <w:r w:rsidR="0047743D">
              <w:rPr>
                <w:lang w:eastAsia="cs-CZ"/>
              </w:rPr>
              <w:t xml:space="preserve">velikost </w:t>
            </w:r>
            <w:r w:rsidR="00FB2B58" w:rsidRPr="00FB2B58">
              <w:rPr>
                <w:lang w:eastAsia="cs-CZ"/>
              </w:rPr>
              <w:t>min 2x3 m</w:t>
            </w:r>
            <w:r w:rsidR="00FB2B58">
              <w:rPr>
                <w:lang w:eastAsia="cs-CZ"/>
              </w:rPr>
              <w:t>)</w:t>
            </w:r>
            <w:r w:rsidR="004B536C">
              <w:rPr>
                <w:lang w:eastAsia="cs-CZ"/>
              </w:rPr>
              <w:t>,</w:t>
            </w:r>
            <w:r w:rsidR="004B536C" w:rsidRPr="009C0784">
              <w:rPr>
                <w:lang w:eastAsia="cs-CZ"/>
              </w:rPr>
              <w:t xml:space="preserve"> </w:t>
            </w:r>
            <w:r w:rsidR="004B536C">
              <w:rPr>
                <w:lang w:eastAsia="cs-CZ"/>
              </w:rPr>
              <w:t>na které jsou instalovány průsvitné výpalky</w:t>
            </w:r>
            <w:r w:rsidR="00FB2B58">
              <w:rPr>
                <w:lang w:eastAsia="cs-CZ"/>
              </w:rPr>
              <w:t xml:space="preserve"> (plexisklo, tloušťka </w:t>
            </w:r>
            <w:r w:rsidR="00FB2B58" w:rsidRPr="00FB2B58">
              <w:rPr>
                <w:lang w:eastAsia="cs-CZ"/>
              </w:rPr>
              <w:t xml:space="preserve">6mm, </w:t>
            </w:r>
            <w:proofErr w:type="spellStart"/>
            <w:r w:rsidR="00FB2B58" w:rsidRPr="00FB2B58">
              <w:rPr>
                <w:lang w:eastAsia="cs-CZ"/>
              </w:rPr>
              <w:t>světlovodivé</w:t>
            </w:r>
            <w:proofErr w:type="spellEnd"/>
            <w:r w:rsidR="00FB2B58">
              <w:rPr>
                <w:lang w:eastAsia="cs-CZ"/>
              </w:rPr>
              <w:t>)</w:t>
            </w:r>
            <w:r w:rsidR="004B536C">
              <w:rPr>
                <w:lang w:eastAsia="cs-CZ"/>
              </w:rPr>
              <w:t xml:space="preserve"> tvaru jednotlivých rybníků.</w:t>
            </w:r>
            <w:r w:rsidR="00313C45">
              <w:rPr>
                <w:lang w:eastAsia="cs-CZ"/>
              </w:rPr>
              <w:t xml:space="preserve"> Umístění tvarů </w:t>
            </w:r>
            <w:r w:rsidR="00D10EBC">
              <w:rPr>
                <w:lang w:eastAsia="cs-CZ"/>
              </w:rPr>
              <w:t xml:space="preserve">rybníků </w:t>
            </w:r>
            <w:r w:rsidR="00313C45">
              <w:rPr>
                <w:lang w:eastAsia="cs-CZ"/>
              </w:rPr>
              <w:t xml:space="preserve">respektuje </w:t>
            </w:r>
            <w:r w:rsidR="00D10EBC">
              <w:rPr>
                <w:lang w:eastAsia="cs-CZ"/>
              </w:rPr>
              <w:t xml:space="preserve">jejich </w:t>
            </w:r>
            <w:r w:rsidR="00943AC8">
              <w:rPr>
                <w:lang w:eastAsia="cs-CZ"/>
              </w:rPr>
              <w:t>geografické rozmístění v krajině</w:t>
            </w:r>
            <w:r w:rsidR="00313C45">
              <w:rPr>
                <w:lang w:eastAsia="cs-CZ"/>
              </w:rPr>
              <w:t>.</w:t>
            </w:r>
          </w:p>
          <w:p w:rsidR="00313C45" w:rsidRDefault="00313C45" w:rsidP="00313C45">
            <w:pPr>
              <w:pStyle w:val="Bezmezer"/>
              <w:rPr>
                <w:lang w:eastAsia="cs-CZ"/>
              </w:rPr>
            </w:pPr>
            <w:r w:rsidRPr="004B536C">
              <w:rPr>
                <w:lang w:eastAsia="cs-CZ"/>
              </w:rPr>
              <w:t>N</w:t>
            </w:r>
            <w:r>
              <w:rPr>
                <w:lang w:eastAsia="cs-CZ"/>
              </w:rPr>
              <w:t xml:space="preserve">ejsou uvedeny popisky. </w:t>
            </w:r>
          </w:p>
          <w:p w:rsidR="004B536C" w:rsidRPr="00E55258" w:rsidRDefault="00E55258" w:rsidP="005976EA">
            <w:pPr>
              <w:pStyle w:val="Default"/>
            </w:pPr>
            <w:r w:rsidRPr="00E55258">
              <w:rPr>
                <w:rFonts w:ascii="Calibri" w:hAnsi="Calibri"/>
                <w:b/>
                <w:color w:val="auto"/>
                <w:sz w:val="22"/>
                <w:szCs w:val="22"/>
              </w:rPr>
              <w:t>Rybníky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: Ruda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 xml:space="preserve">Velký </w:t>
            </w:r>
            <w:proofErr w:type="spellStart"/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Tisý</w:t>
            </w:r>
            <w:proofErr w:type="spellEnd"/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Opatovický</w:t>
            </w:r>
            <w:proofErr w:type="spellEnd"/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Horusický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Záblatský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Kaňov</w:t>
            </w:r>
            <w:proofErr w:type="spellEnd"/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Břilické</w:t>
            </w:r>
            <w:proofErr w:type="spellEnd"/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 xml:space="preserve"> rybníky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 xml:space="preserve">Starý a Nový </w:t>
            </w:r>
            <w:proofErr w:type="spellStart"/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Koclířov</w:t>
            </w:r>
            <w:proofErr w:type="spellEnd"/>
            <w:r>
              <w:rPr>
                <w:rFonts w:ascii="Calibri" w:hAnsi="Calibri"/>
                <w:color w:val="auto"/>
                <w:sz w:val="22"/>
                <w:szCs w:val="22"/>
              </w:rPr>
              <w:t>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E064C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Síť</w:t>
            </w:r>
            <w:r w:rsidR="00467E1A">
              <w:rPr>
                <w:rFonts w:eastAsia="Times New Roman" w:cs="Calibri"/>
                <w:color w:val="000000"/>
                <w:lang w:eastAsia="cs-CZ"/>
              </w:rPr>
              <w:t>, tvary rybníků</w:t>
            </w:r>
            <w:r>
              <w:rPr>
                <w:rFonts w:eastAsia="Times New Roman" w:cs="Calibri"/>
                <w:color w:val="000000"/>
                <w:lang w:eastAsia="cs-CZ"/>
              </w:rPr>
              <w:t>, upevnění.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3467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914A7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  <w:r w:rsidR="00414FDE">
              <w:rPr>
                <w:rFonts w:eastAsia="Times New Roman" w:cs="Calibri"/>
                <w:color w:val="000000"/>
                <w:lang w:eastAsia="cs-CZ"/>
              </w:rPr>
              <w:t xml:space="preserve"> ke stropu pro možný rozvoj do budoucna (nasvícení tvarů rybníků).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F0125B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Funkčnost min. 5 let</w:t>
            </w:r>
            <w:r w:rsidR="00214BEC">
              <w:rPr>
                <w:rFonts w:eastAsia="Times New Roman" w:cs="Calibri"/>
                <w:color w:val="000000"/>
                <w:lang w:eastAsia="cs-CZ"/>
              </w:rPr>
              <w:t>; estetická kvalita dekorace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E4365F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E4365F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7D6090" w:rsidRDefault="00A425EB" w:rsidP="0046361A">
      <w:pPr>
        <w:rPr>
          <w:sz w:val="2"/>
          <w:szCs w:val="2"/>
        </w:rPr>
      </w:pPr>
    </w:p>
    <w:sectPr w:rsidR="00A425EB" w:rsidRPr="007D6090" w:rsidSect="001C0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0D5" w:rsidRDefault="000900D5" w:rsidP="00ED6825">
      <w:pPr>
        <w:spacing w:after="0" w:line="240" w:lineRule="auto"/>
      </w:pPr>
      <w:r>
        <w:separator/>
      </w:r>
    </w:p>
  </w:endnote>
  <w:endnote w:type="continuationSeparator" w:id="0">
    <w:p w:rsidR="000900D5" w:rsidRDefault="000900D5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D1" w:rsidRDefault="00D755D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D1" w:rsidRDefault="00D755D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D1" w:rsidRDefault="00D755D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0D5" w:rsidRDefault="000900D5" w:rsidP="00ED6825">
      <w:pPr>
        <w:spacing w:after="0" w:line="240" w:lineRule="auto"/>
      </w:pPr>
      <w:r>
        <w:separator/>
      </w:r>
    </w:p>
  </w:footnote>
  <w:footnote w:type="continuationSeparator" w:id="0">
    <w:p w:rsidR="000900D5" w:rsidRDefault="000900D5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D1" w:rsidRDefault="00D755D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D755D1">
      <w:rPr>
        <w:sz w:val="12"/>
        <w:szCs w:val="12"/>
      </w:rPr>
      <w:t xml:space="preserve">Města </w:t>
    </w:r>
    <w:r w:rsidR="00D755D1">
      <w:rPr>
        <w:sz w:val="12"/>
        <w:szCs w:val="12"/>
      </w:rPr>
      <w:t>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D1" w:rsidRDefault="00D755D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129EB"/>
    <w:rsid w:val="00030B5C"/>
    <w:rsid w:val="000432D5"/>
    <w:rsid w:val="00047730"/>
    <w:rsid w:val="0005301C"/>
    <w:rsid w:val="00055238"/>
    <w:rsid w:val="000763E0"/>
    <w:rsid w:val="000772D7"/>
    <w:rsid w:val="000900D5"/>
    <w:rsid w:val="000A4F49"/>
    <w:rsid w:val="000B4BCF"/>
    <w:rsid w:val="000C253B"/>
    <w:rsid w:val="000C2C48"/>
    <w:rsid w:val="000D401C"/>
    <w:rsid w:val="000E0FC8"/>
    <w:rsid w:val="00110A48"/>
    <w:rsid w:val="001135E7"/>
    <w:rsid w:val="00121B72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C0CDB"/>
    <w:rsid w:val="001C6AD3"/>
    <w:rsid w:val="001D0403"/>
    <w:rsid w:val="001D504B"/>
    <w:rsid w:val="001E39C9"/>
    <w:rsid w:val="001E7033"/>
    <w:rsid w:val="0020214A"/>
    <w:rsid w:val="002051B3"/>
    <w:rsid w:val="00214BEC"/>
    <w:rsid w:val="00225F66"/>
    <w:rsid w:val="002275D5"/>
    <w:rsid w:val="00232D44"/>
    <w:rsid w:val="00236D63"/>
    <w:rsid w:val="00237D06"/>
    <w:rsid w:val="00245BCD"/>
    <w:rsid w:val="00252917"/>
    <w:rsid w:val="00262CA0"/>
    <w:rsid w:val="002839DB"/>
    <w:rsid w:val="00283DF7"/>
    <w:rsid w:val="00286139"/>
    <w:rsid w:val="0029426E"/>
    <w:rsid w:val="00296BB5"/>
    <w:rsid w:val="002D7B61"/>
    <w:rsid w:val="002E076F"/>
    <w:rsid w:val="002E1934"/>
    <w:rsid w:val="002E1DA7"/>
    <w:rsid w:val="002E54EE"/>
    <w:rsid w:val="002F348E"/>
    <w:rsid w:val="00301EAE"/>
    <w:rsid w:val="00313C45"/>
    <w:rsid w:val="003244DC"/>
    <w:rsid w:val="003346E8"/>
    <w:rsid w:val="00366F5F"/>
    <w:rsid w:val="003A191B"/>
    <w:rsid w:val="003A79CD"/>
    <w:rsid w:val="003C2924"/>
    <w:rsid w:val="003C452C"/>
    <w:rsid w:val="003C5FC0"/>
    <w:rsid w:val="003C78F9"/>
    <w:rsid w:val="003D1EA3"/>
    <w:rsid w:val="003E2DB7"/>
    <w:rsid w:val="003E43E2"/>
    <w:rsid w:val="003F1468"/>
    <w:rsid w:val="004066C3"/>
    <w:rsid w:val="004113EC"/>
    <w:rsid w:val="00414FDE"/>
    <w:rsid w:val="004345AA"/>
    <w:rsid w:val="00450EDF"/>
    <w:rsid w:val="004610AB"/>
    <w:rsid w:val="0046361A"/>
    <w:rsid w:val="0046620C"/>
    <w:rsid w:val="00467E1A"/>
    <w:rsid w:val="0047228E"/>
    <w:rsid w:val="00473E45"/>
    <w:rsid w:val="0047743D"/>
    <w:rsid w:val="004775F6"/>
    <w:rsid w:val="004B2C98"/>
    <w:rsid w:val="004B536C"/>
    <w:rsid w:val="004C4C5A"/>
    <w:rsid w:val="004D009B"/>
    <w:rsid w:val="004D7FAC"/>
    <w:rsid w:val="004E38E4"/>
    <w:rsid w:val="004E4C6D"/>
    <w:rsid w:val="004F106A"/>
    <w:rsid w:val="0050047C"/>
    <w:rsid w:val="00510202"/>
    <w:rsid w:val="00535895"/>
    <w:rsid w:val="00540B35"/>
    <w:rsid w:val="00545535"/>
    <w:rsid w:val="00550925"/>
    <w:rsid w:val="00555978"/>
    <w:rsid w:val="00560A17"/>
    <w:rsid w:val="00577718"/>
    <w:rsid w:val="00585A57"/>
    <w:rsid w:val="00586507"/>
    <w:rsid w:val="005914A7"/>
    <w:rsid w:val="005976EA"/>
    <w:rsid w:val="005B6D79"/>
    <w:rsid w:val="005D5FE7"/>
    <w:rsid w:val="005D75B7"/>
    <w:rsid w:val="005E59EE"/>
    <w:rsid w:val="005F7DDF"/>
    <w:rsid w:val="006129F7"/>
    <w:rsid w:val="006163D0"/>
    <w:rsid w:val="00645DB5"/>
    <w:rsid w:val="0064634F"/>
    <w:rsid w:val="00670597"/>
    <w:rsid w:val="00694874"/>
    <w:rsid w:val="00696F3D"/>
    <w:rsid w:val="00697D26"/>
    <w:rsid w:val="006A4955"/>
    <w:rsid w:val="006C4851"/>
    <w:rsid w:val="006C5554"/>
    <w:rsid w:val="006D24D1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4E9D"/>
    <w:rsid w:val="0076695A"/>
    <w:rsid w:val="00782439"/>
    <w:rsid w:val="00792478"/>
    <w:rsid w:val="00796E08"/>
    <w:rsid w:val="007B168B"/>
    <w:rsid w:val="007C6A04"/>
    <w:rsid w:val="007C7227"/>
    <w:rsid w:val="007D0B7E"/>
    <w:rsid w:val="007D20B5"/>
    <w:rsid w:val="007D5C30"/>
    <w:rsid w:val="007D6090"/>
    <w:rsid w:val="007E707B"/>
    <w:rsid w:val="00802DC2"/>
    <w:rsid w:val="008075A6"/>
    <w:rsid w:val="008255C8"/>
    <w:rsid w:val="008357B2"/>
    <w:rsid w:val="0084067C"/>
    <w:rsid w:val="00863B7C"/>
    <w:rsid w:val="008807B7"/>
    <w:rsid w:val="008918EF"/>
    <w:rsid w:val="008965C3"/>
    <w:rsid w:val="008D355E"/>
    <w:rsid w:val="008D6143"/>
    <w:rsid w:val="00910B97"/>
    <w:rsid w:val="009217D3"/>
    <w:rsid w:val="009220D2"/>
    <w:rsid w:val="00933AB7"/>
    <w:rsid w:val="00942761"/>
    <w:rsid w:val="00943AC8"/>
    <w:rsid w:val="0095199A"/>
    <w:rsid w:val="00962A66"/>
    <w:rsid w:val="009664E0"/>
    <w:rsid w:val="00974A9D"/>
    <w:rsid w:val="00976C1B"/>
    <w:rsid w:val="00987EF3"/>
    <w:rsid w:val="009A3E0C"/>
    <w:rsid w:val="009B269C"/>
    <w:rsid w:val="009C5329"/>
    <w:rsid w:val="009D0FBC"/>
    <w:rsid w:val="009D5B43"/>
    <w:rsid w:val="009F4340"/>
    <w:rsid w:val="009F5ECC"/>
    <w:rsid w:val="00A0486F"/>
    <w:rsid w:val="00A2042E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913B3"/>
    <w:rsid w:val="00A93239"/>
    <w:rsid w:val="00AA01DE"/>
    <w:rsid w:val="00AA3431"/>
    <w:rsid w:val="00AA5398"/>
    <w:rsid w:val="00AA5940"/>
    <w:rsid w:val="00AB0C1F"/>
    <w:rsid w:val="00AB4BDA"/>
    <w:rsid w:val="00AC1FC0"/>
    <w:rsid w:val="00AC2684"/>
    <w:rsid w:val="00AD1A0A"/>
    <w:rsid w:val="00AE0BDF"/>
    <w:rsid w:val="00AF35F3"/>
    <w:rsid w:val="00B14074"/>
    <w:rsid w:val="00B153E6"/>
    <w:rsid w:val="00B3177A"/>
    <w:rsid w:val="00B35C0E"/>
    <w:rsid w:val="00B4423B"/>
    <w:rsid w:val="00B45C6B"/>
    <w:rsid w:val="00B57B44"/>
    <w:rsid w:val="00B720AA"/>
    <w:rsid w:val="00BA3B9F"/>
    <w:rsid w:val="00BC3877"/>
    <w:rsid w:val="00BC7C55"/>
    <w:rsid w:val="00BD335C"/>
    <w:rsid w:val="00BD6DAC"/>
    <w:rsid w:val="00BE5B8A"/>
    <w:rsid w:val="00C008CA"/>
    <w:rsid w:val="00C0313C"/>
    <w:rsid w:val="00C17695"/>
    <w:rsid w:val="00C326D0"/>
    <w:rsid w:val="00C4087F"/>
    <w:rsid w:val="00C4141F"/>
    <w:rsid w:val="00C429BA"/>
    <w:rsid w:val="00C46D15"/>
    <w:rsid w:val="00C5198A"/>
    <w:rsid w:val="00C6046C"/>
    <w:rsid w:val="00C62ABE"/>
    <w:rsid w:val="00C70AF2"/>
    <w:rsid w:val="00C7492D"/>
    <w:rsid w:val="00C837E0"/>
    <w:rsid w:val="00C904E7"/>
    <w:rsid w:val="00CA7D29"/>
    <w:rsid w:val="00CD5859"/>
    <w:rsid w:val="00CE4F88"/>
    <w:rsid w:val="00D10EBC"/>
    <w:rsid w:val="00D2566E"/>
    <w:rsid w:val="00D300FF"/>
    <w:rsid w:val="00D3286E"/>
    <w:rsid w:val="00D32D70"/>
    <w:rsid w:val="00D32E98"/>
    <w:rsid w:val="00D41382"/>
    <w:rsid w:val="00D4396F"/>
    <w:rsid w:val="00D5411A"/>
    <w:rsid w:val="00D755D1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E193E"/>
    <w:rsid w:val="00DE3467"/>
    <w:rsid w:val="00DF4C0A"/>
    <w:rsid w:val="00E04954"/>
    <w:rsid w:val="00E064C9"/>
    <w:rsid w:val="00E130DA"/>
    <w:rsid w:val="00E40779"/>
    <w:rsid w:val="00E419E2"/>
    <w:rsid w:val="00E4365F"/>
    <w:rsid w:val="00E530D6"/>
    <w:rsid w:val="00E55258"/>
    <w:rsid w:val="00E77B97"/>
    <w:rsid w:val="00E87686"/>
    <w:rsid w:val="00EA426A"/>
    <w:rsid w:val="00EA7EC7"/>
    <w:rsid w:val="00EA7F47"/>
    <w:rsid w:val="00EB1743"/>
    <w:rsid w:val="00EC4DA8"/>
    <w:rsid w:val="00EC4E2D"/>
    <w:rsid w:val="00ED1296"/>
    <w:rsid w:val="00ED43F1"/>
    <w:rsid w:val="00ED6825"/>
    <w:rsid w:val="00EE0A5A"/>
    <w:rsid w:val="00EE1EEC"/>
    <w:rsid w:val="00EE5D6F"/>
    <w:rsid w:val="00F0125B"/>
    <w:rsid w:val="00F123F1"/>
    <w:rsid w:val="00F33A99"/>
    <w:rsid w:val="00F41BE4"/>
    <w:rsid w:val="00F4554C"/>
    <w:rsid w:val="00F51EFC"/>
    <w:rsid w:val="00F5458C"/>
    <w:rsid w:val="00F67B5B"/>
    <w:rsid w:val="00F77F56"/>
    <w:rsid w:val="00F9288B"/>
    <w:rsid w:val="00F959F0"/>
    <w:rsid w:val="00F96DBC"/>
    <w:rsid w:val="00FA688D"/>
    <w:rsid w:val="00FB0AB3"/>
    <w:rsid w:val="00FB2B58"/>
    <w:rsid w:val="00FB2D42"/>
    <w:rsid w:val="00FB6925"/>
    <w:rsid w:val="00FB7CBA"/>
    <w:rsid w:val="00FC36B6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B53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3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36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53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536C"/>
    <w:rPr>
      <w:b/>
      <w:bCs/>
    </w:rPr>
  </w:style>
  <w:style w:type="paragraph" w:customStyle="1" w:styleId="Default">
    <w:name w:val="Default"/>
    <w:rsid w:val="00E552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41C12-56BF-4D28-B4E3-68D1FF9B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32</cp:revision>
  <cp:lastPrinted>2012-10-01T12:46:00Z</cp:lastPrinted>
  <dcterms:created xsi:type="dcterms:W3CDTF">2015-03-27T12:37:00Z</dcterms:created>
  <dcterms:modified xsi:type="dcterms:W3CDTF">2015-04-07T22:12:00Z</dcterms:modified>
</cp:coreProperties>
</file>