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tblInd w:w="5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4"/>
      </w:tblGrid>
      <w:tr w:rsidR="00AF76A0" w:rsidRPr="00E530D6" w:rsidTr="00AF76A0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AF76A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0030E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F8336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F8336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8A0324" w:rsidP="001965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1</w:t>
            </w:r>
            <w:r w:rsidR="00547B03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/01</w:t>
            </w:r>
          </w:p>
        </w:tc>
      </w:tr>
      <w:tr w:rsidR="00AF76A0" w:rsidRPr="00E530D6" w:rsidTr="003E76A7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8A0324" w:rsidP="00196537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Vchod</w:t>
            </w:r>
            <w:r w:rsidR="004C7A3C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 xml:space="preserve"> – prostora obecně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64634F" w:rsidRDefault="008A0324" w:rsidP="008A0324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 w:rsidRPr="008A0324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1)</w:t>
            </w: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 xml:space="preserve"> vchod</w:t>
            </w:r>
          </w:p>
        </w:tc>
      </w:tr>
      <w:tr w:rsidR="00AF76A0" w:rsidRPr="00E530D6" w:rsidTr="00F83366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76A0" w:rsidRPr="00E530D6" w:rsidRDefault="008A5F1F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Uvítání návštěvníka, navození tématu výstavy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F8336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F8336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512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3E76A7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6A0" w:rsidRPr="00433423" w:rsidRDefault="00AF76A0" w:rsidP="006D328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433423">
              <w:rPr>
                <w:rFonts w:eastAsia="Times New Roman" w:cs="Calibri"/>
                <w:color w:val="000000"/>
                <w:lang w:eastAsia="cs-CZ"/>
              </w:rPr>
              <w:t xml:space="preserve">Návštěvník </w:t>
            </w:r>
            <w:r w:rsidR="005B283C" w:rsidRPr="00433423">
              <w:rPr>
                <w:rFonts w:eastAsia="Times New Roman" w:cs="Calibri"/>
                <w:color w:val="000000"/>
                <w:lang w:eastAsia="cs-CZ"/>
              </w:rPr>
              <w:t xml:space="preserve">je uveden do expozice. Vedle návštěvnického pultu vidí symbolické </w:t>
            </w:r>
            <w:r w:rsidR="00560717" w:rsidRPr="00433423">
              <w:rPr>
                <w:rFonts w:eastAsia="Times New Roman" w:cs="Calibri"/>
                <w:color w:val="000000"/>
                <w:lang w:eastAsia="cs-CZ"/>
              </w:rPr>
              <w:t>ztvárnění rybniční soustavy</w:t>
            </w:r>
            <w:r w:rsidR="005B283C" w:rsidRPr="00433423">
              <w:rPr>
                <w:rFonts w:eastAsia="Times New Roman" w:cs="Calibri"/>
                <w:color w:val="000000"/>
                <w:lang w:eastAsia="cs-CZ"/>
              </w:rPr>
              <w:t>, které ho</w:t>
            </w:r>
            <w:r w:rsidR="00560717" w:rsidRPr="00433423">
              <w:rPr>
                <w:rFonts w:eastAsia="Times New Roman" w:cs="Calibri"/>
                <w:color w:val="000000"/>
                <w:lang w:eastAsia="cs-CZ"/>
              </w:rPr>
              <w:t xml:space="preserve"> naladí k dalšímu objevování</w:t>
            </w:r>
            <w:r w:rsidR="005B283C" w:rsidRPr="00433423">
              <w:rPr>
                <w:rFonts w:eastAsia="Times New Roman" w:cs="Calibri"/>
                <w:color w:val="000000"/>
                <w:lang w:eastAsia="cs-CZ"/>
              </w:rPr>
              <w:t>. Má možnost stažení mobilní aplikace – průvodce expozicí</w:t>
            </w:r>
            <w:r w:rsidR="00433423">
              <w:rPr>
                <w:rFonts w:eastAsia="Times New Roman" w:cs="Calibri"/>
                <w:color w:val="000000"/>
                <w:lang w:eastAsia="cs-CZ"/>
              </w:rPr>
              <w:t xml:space="preserve"> nebo vyzvednutí zadání úkolů v papírové verzi</w:t>
            </w:r>
            <w:r w:rsidR="005B283C" w:rsidRPr="00433423"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r w:rsidR="00560717" w:rsidRPr="0043342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</w:p>
        </w:tc>
      </w:tr>
      <w:tr w:rsidR="00AF76A0" w:rsidRPr="00E530D6" w:rsidTr="00BB67FD">
        <w:trPr>
          <w:trHeight w:val="739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7CC" w:rsidRDefault="004177CC" w:rsidP="00196537">
            <w:pPr>
              <w:pStyle w:val="Bezmezer"/>
              <w:rPr>
                <w:lang w:eastAsia="cs-CZ"/>
              </w:rPr>
            </w:pPr>
            <w:r w:rsidRPr="004177CC">
              <w:rPr>
                <w:highlight w:val="lightGray"/>
                <w:lang w:eastAsia="cs-CZ"/>
              </w:rPr>
              <w:t>Průhled z náměstí, pracovat se světlem, upoutávka</w:t>
            </w:r>
          </w:p>
          <w:p w:rsidR="00560717" w:rsidRPr="009C0784" w:rsidRDefault="00AF76A0" w:rsidP="00196537">
            <w:pPr>
              <w:pStyle w:val="Bezmezer"/>
              <w:rPr>
                <w:lang w:eastAsia="cs-CZ"/>
              </w:rPr>
            </w:pPr>
            <w:r w:rsidRPr="009C0784">
              <w:rPr>
                <w:lang w:eastAsia="cs-CZ"/>
              </w:rPr>
              <w:t xml:space="preserve">Jedná se o </w:t>
            </w:r>
            <w:r w:rsidR="00560717" w:rsidRPr="009C0784">
              <w:rPr>
                <w:lang w:eastAsia="cs-CZ"/>
              </w:rPr>
              <w:t xml:space="preserve">vstupní místnost s </w:t>
            </w:r>
            <w:r w:rsidRPr="009C0784">
              <w:rPr>
                <w:lang w:eastAsia="cs-CZ"/>
              </w:rPr>
              <w:t xml:space="preserve">celkovou plochu </w:t>
            </w:r>
            <w:r w:rsidR="00560717" w:rsidRPr="009C0784">
              <w:rPr>
                <w:lang w:eastAsia="cs-CZ"/>
              </w:rPr>
              <w:t>9</w:t>
            </w:r>
            <w:r w:rsidRPr="009C0784">
              <w:rPr>
                <w:lang w:eastAsia="cs-CZ"/>
              </w:rPr>
              <w:t xml:space="preserve"> m</w:t>
            </w:r>
            <w:r w:rsidRPr="009C0784">
              <w:rPr>
                <w:vertAlign w:val="superscript"/>
                <w:lang w:eastAsia="cs-CZ"/>
              </w:rPr>
              <w:t>2</w:t>
            </w:r>
            <w:r w:rsidRPr="009C0784">
              <w:rPr>
                <w:lang w:eastAsia="cs-CZ"/>
              </w:rPr>
              <w:t>,</w:t>
            </w:r>
            <w:r w:rsidR="00560717" w:rsidRPr="009C0784">
              <w:rPr>
                <w:lang w:eastAsia="cs-CZ"/>
              </w:rPr>
              <w:t xml:space="preserve"> v místnosti je umístěn </w:t>
            </w:r>
            <w:r w:rsidR="002A6CBA">
              <w:rPr>
                <w:lang w:eastAsia="cs-CZ"/>
              </w:rPr>
              <w:t xml:space="preserve">návštěvnický </w:t>
            </w:r>
            <w:r w:rsidR="005B283C">
              <w:rPr>
                <w:lang w:eastAsia="cs-CZ"/>
              </w:rPr>
              <w:t>pult a informační stojan</w:t>
            </w:r>
            <w:r w:rsidR="00547B03">
              <w:rPr>
                <w:lang w:eastAsia="cs-CZ"/>
              </w:rPr>
              <w:t>y</w:t>
            </w:r>
            <w:r w:rsidR="005B283C">
              <w:rPr>
                <w:lang w:eastAsia="cs-CZ"/>
              </w:rPr>
              <w:t xml:space="preserve">. </w:t>
            </w:r>
          </w:p>
          <w:p w:rsidR="00112B49" w:rsidRDefault="00560717" w:rsidP="005B283C">
            <w:pPr>
              <w:pStyle w:val="Bezmezer"/>
              <w:rPr>
                <w:lang w:eastAsia="cs-CZ"/>
              </w:rPr>
            </w:pPr>
            <w:r w:rsidRPr="009C0784">
              <w:rPr>
                <w:lang w:eastAsia="cs-CZ"/>
              </w:rPr>
              <w:t xml:space="preserve">Hlavní dominantou je </w:t>
            </w:r>
            <w:r w:rsidR="009C0784" w:rsidRPr="009C0784">
              <w:rPr>
                <w:lang w:eastAsia="cs-CZ"/>
              </w:rPr>
              <w:t xml:space="preserve">exponát </w:t>
            </w:r>
            <w:r w:rsidR="00887F5E">
              <w:rPr>
                <w:lang w:eastAsia="cs-CZ"/>
              </w:rPr>
              <w:t>znázorňující svou symbolikou sítě</w:t>
            </w:r>
            <w:r w:rsidR="009C0784" w:rsidRPr="009C0784">
              <w:rPr>
                <w:lang w:eastAsia="cs-CZ"/>
              </w:rPr>
              <w:t xml:space="preserve"> rybníků vybudovaných </w:t>
            </w:r>
            <w:r w:rsidR="005B283C">
              <w:rPr>
                <w:lang w:eastAsia="cs-CZ"/>
              </w:rPr>
              <w:t>Štěpánkem Netolickým</w:t>
            </w:r>
            <w:r w:rsidR="009C0784" w:rsidRPr="009C0784">
              <w:rPr>
                <w:lang w:eastAsia="cs-CZ"/>
              </w:rPr>
              <w:t xml:space="preserve">. </w:t>
            </w:r>
          </w:p>
          <w:p w:rsidR="004177CC" w:rsidRPr="00D225F4" w:rsidRDefault="000F642B" w:rsidP="00112B49">
            <w:pPr>
              <w:pStyle w:val="Bezmezer"/>
              <w:rPr>
                <w:highlight w:val="yellow"/>
                <w:lang w:eastAsia="cs-CZ"/>
              </w:rPr>
            </w:pPr>
            <w:r>
              <w:rPr>
                <w:lang w:eastAsia="cs-CZ"/>
              </w:rPr>
              <w:t xml:space="preserve">Dřevěné kopie </w:t>
            </w:r>
            <w:r w:rsidR="00433423">
              <w:rPr>
                <w:lang w:eastAsia="cs-CZ"/>
              </w:rPr>
              <w:t xml:space="preserve">měřičských </w:t>
            </w:r>
            <w:r>
              <w:rPr>
                <w:lang w:eastAsia="cs-CZ"/>
              </w:rPr>
              <w:t xml:space="preserve">pomůcek jsou zapůjčovány návštěvníkům. </w:t>
            </w:r>
          </w:p>
          <w:p w:rsidR="00AF76A0" w:rsidRPr="009D467E" w:rsidRDefault="009D467E" w:rsidP="00196537">
            <w:pPr>
              <w:pStyle w:val="Bezmez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lang w:eastAsia="cs-CZ"/>
              </w:rPr>
              <w:t>Vše</w:t>
            </w:r>
            <w:r w:rsidR="00AF76A0" w:rsidRPr="009D467E">
              <w:rPr>
                <w:lang w:eastAsia="cs-CZ"/>
              </w:rPr>
              <w:t xml:space="preserve"> v duchu celkového výtvarného </w:t>
            </w:r>
            <w:r>
              <w:rPr>
                <w:lang w:eastAsia="cs-CZ"/>
              </w:rPr>
              <w:t xml:space="preserve">renesančního </w:t>
            </w:r>
            <w:r w:rsidR="00AF76A0" w:rsidRPr="009D467E">
              <w:rPr>
                <w:lang w:eastAsia="cs-CZ"/>
              </w:rPr>
              <w:t>pojetí.</w:t>
            </w:r>
          </w:p>
          <w:p w:rsidR="00DC7C9C" w:rsidRPr="00E530D6" w:rsidRDefault="00DC7C9C" w:rsidP="00196537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O</w:t>
            </w:r>
            <w:r w:rsidR="0007650C">
              <w:rPr>
                <w:lang w:eastAsia="cs-CZ"/>
              </w:rPr>
              <w:t xml:space="preserve">světlení mimo dodávku, </w:t>
            </w:r>
            <w:r w:rsidRPr="00DC7C9C">
              <w:rPr>
                <w:lang w:eastAsia="cs-CZ"/>
              </w:rPr>
              <w:t>nutná součinnost</w:t>
            </w:r>
            <w:r w:rsidR="0007650C">
              <w:rPr>
                <w:lang w:eastAsia="cs-CZ"/>
              </w:rPr>
              <w:t xml:space="preserve"> s dodavatelem stavby</w:t>
            </w:r>
            <w:r>
              <w:rPr>
                <w:lang w:eastAsia="cs-CZ"/>
              </w:rPr>
              <w:t>.</w:t>
            </w:r>
          </w:p>
        </w:tc>
      </w:tr>
      <w:tr w:rsidR="00AF76A0" w:rsidRPr="00AF35F3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AF35F3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C68" w:rsidRPr="00AF35F3" w:rsidRDefault="000215FD" w:rsidP="00547B0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Exponáty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6C68" w:rsidRPr="00E530D6" w:rsidRDefault="00AF76A0" w:rsidP="00547B0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A5F1F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  <w:r w:rsidR="00547B03">
              <w:rPr>
                <w:rFonts w:eastAsia="Times New Roman" w:cs="Calibri"/>
                <w:color w:val="000000"/>
                <w:lang w:eastAsia="cs-CZ"/>
              </w:rPr>
              <w:t> na určených místech</w:t>
            </w:r>
            <w:r w:rsidRPr="008A5F1F">
              <w:rPr>
                <w:rFonts w:eastAsia="Times New Roman" w:cs="Calibri"/>
                <w:color w:val="000000"/>
                <w:lang w:eastAsia="cs-CZ"/>
              </w:rPr>
              <w:t>.</w:t>
            </w:r>
            <w:r w:rsidR="00887F5E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547B03">
              <w:rPr>
                <w:rFonts w:eastAsia="Times New Roman" w:cs="Calibri"/>
                <w:color w:val="000000"/>
                <w:lang w:eastAsia="cs-CZ"/>
              </w:rPr>
              <w:t xml:space="preserve">Přívod a odtok vody na určeném místě. </w:t>
            </w:r>
            <w:r w:rsidR="00176C68">
              <w:rPr>
                <w:rFonts w:eastAsia="Times New Roman" w:cs="Calibri"/>
                <w:color w:val="000000"/>
                <w:lang w:eastAsia="cs-CZ"/>
              </w:rPr>
              <w:t>Bezdrátový internet</w:t>
            </w:r>
            <w:r w:rsidR="00547B03">
              <w:rPr>
                <w:rFonts w:eastAsia="Times New Roman" w:cs="Calibri"/>
                <w:color w:val="000000"/>
                <w:lang w:eastAsia="cs-CZ"/>
              </w:rPr>
              <w:t>.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3E76A7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7C0A90" w:rsidP="009D467E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Rozmístění, kompletní instalace a zprovoznění jednotlivých exponátů. </w:t>
            </w:r>
            <w:r w:rsidRPr="00EA582C">
              <w:rPr>
                <w:rFonts w:eastAsia="Times New Roman" w:cs="Calibri"/>
                <w:color w:val="000000"/>
                <w:lang w:eastAsia="cs-CZ"/>
              </w:rPr>
              <w:t>Uživatelský manuál pro správu expozice.</w:t>
            </w:r>
          </w:p>
        </w:tc>
      </w:tr>
      <w:tr w:rsidR="00AF76A0" w:rsidRPr="00E530D6" w:rsidTr="00436819">
        <w:trPr>
          <w:trHeight w:val="284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837EF1" w:rsidP="007C0A9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Možné rozšíření do</w:t>
            </w:r>
            <w:r w:rsidR="007C0A90">
              <w:rPr>
                <w:rFonts w:eastAsia="Times New Roman" w:cs="Calibri"/>
                <w:color w:val="000000"/>
                <w:lang w:eastAsia="cs-CZ"/>
              </w:rPr>
              <w:t> </w:t>
            </w:r>
            <w:r>
              <w:rPr>
                <w:rFonts w:eastAsia="Times New Roman" w:cs="Calibri"/>
                <w:color w:val="000000"/>
                <w:lang w:eastAsia="cs-CZ"/>
              </w:rPr>
              <w:t>budoucna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7EF1" w:rsidRDefault="00837EF1" w:rsidP="0043681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Vitrína s originály měřičských přístrojů</w:t>
            </w:r>
          </w:p>
          <w:p w:rsidR="004A4865" w:rsidRPr="00E530D6" w:rsidRDefault="004A4865" w:rsidP="0043681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Symbolické ztvárnění rybniční soustavy (kaskáda)</w:t>
            </w:r>
          </w:p>
        </w:tc>
      </w:tr>
      <w:tr w:rsidR="00AF76A0" w:rsidRPr="00E530D6" w:rsidTr="00BB67FD">
        <w:trPr>
          <w:trHeight w:val="504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43B" w:rsidRPr="00E530D6" w:rsidRDefault="003E76A7" w:rsidP="009D643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9D643B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155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Seznam </w:t>
            </w:r>
            <w:r w:rsidR="009D467E">
              <w:rPr>
                <w:rFonts w:eastAsia="Times New Roman" w:cs="Calibri"/>
                <w:color w:val="000000"/>
                <w:lang w:eastAsia="cs-CZ"/>
              </w:rPr>
              <w:t>exponátů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0F642B" w:rsidP="00547B0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1</w:t>
            </w:r>
            <w:r w:rsidR="00547B03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02 </w:t>
            </w:r>
            <w:r w:rsidR="009D467E">
              <w:rPr>
                <w:rFonts w:eastAsia="Times New Roman" w:cs="Calibri"/>
                <w:color w:val="000000"/>
                <w:lang w:eastAsia="cs-CZ"/>
              </w:rPr>
              <w:t xml:space="preserve">Síť rybníků, </w:t>
            </w:r>
            <w:r>
              <w:rPr>
                <w:rFonts w:eastAsia="Times New Roman" w:cs="Calibri"/>
                <w:color w:val="000000"/>
                <w:lang w:eastAsia="cs-CZ"/>
              </w:rPr>
              <w:t>1</w:t>
            </w:r>
            <w:r w:rsidR="00547B03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03 </w:t>
            </w:r>
            <w:r w:rsidR="009D467E">
              <w:rPr>
                <w:rFonts w:eastAsia="Times New Roman" w:cs="Calibri"/>
                <w:color w:val="000000"/>
                <w:lang w:eastAsia="cs-CZ"/>
              </w:rPr>
              <w:t xml:space="preserve">Historická měření, </w:t>
            </w:r>
            <w:r>
              <w:rPr>
                <w:rFonts w:eastAsia="Times New Roman" w:cs="Calibri"/>
                <w:color w:val="000000"/>
                <w:lang w:eastAsia="cs-CZ"/>
              </w:rPr>
              <w:t>1</w:t>
            </w:r>
            <w:r w:rsidR="00547B03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04 </w:t>
            </w:r>
            <w:r w:rsidR="009D467E">
              <w:rPr>
                <w:rFonts w:eastAsia="Times New Roman" w:cs="Calibri"/>
                <w:color w:val="000000"/>
                <w:lang w:eastAsia="cs-CZ"/>
              </w:rPr>
              <w:t>Informační stojan,</w:t>
            </w:r>
            <w:r w:rsidR="00176C68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D9632C">
              <w:rPr>
                <w:rFonts w:eastAsia="Times New Roman" w:cs="Calibri"/>
                <w:color w:val="000000"/>
                <w:lang w:eastAsia="cs-CZ"/>
              </w:rPr>
              <w:t>1</w:t>
            </w:r>
            <w:r w:rsidR="00547B03">
              <w:rPr>
                <w:rFonts w:eastAsia="Times New Roman" w:cs="Calibri"/>
                <w:color w:val="000000"/>
                <w:lang w:eastAsia="cs-CZ"/>
              </w:rPr>
              <w:t>/</w:t>
            </w:r>
            <w:r w:rsidR="00D9632C">
              <w:rPr>
                <w:rFonts w:eastAsia="Times New Roman" w:cs="Calibri"/>
                <w:color w:val="000000"/>
                <w:lang w:eastAsia="cs-CZ"/>
              </w:rPr>
              <w:t xml:space="preserve">05 Mapa, </w:t>
            </w:r>
            <w:r>
              <w:rPr>
                <w:rFonts w:eastAsia="Times New Roman" w:cs="Calibri"/>
                <w:color w:val="000000"/>
                <w:lang w:eastAsia="cs-CZ"/>
              </w:rPr>
              <w:t>1</w:t>
            </w:r>
            <w:r w:rsidR="00547B03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06 </w:t>
            </w:r>
            <w:r w:rsidR="00176C68">
              <w:rPr>
                <w:rFonts w:eastAsia="Times New Roman" w:cs="Calibri"/>
                <w:color w:val="000000"/>
                <w:lang w:eastAsia="cs-CZ"/>
              </w:rPr>
              <w:t>Mobilní aplikace</w:t>
            </w:r>
            <w:r w:rsidR="0015081B">
              <w:rPr>
                <w:rFonts w:eastAsia="Times New Roman" w:cs="Calibri"/>
                <w:color w:val="000000"/>
                <w:lang w:eastAsia="cs-CZ"/>
              </w:rPr>
              <w:t>, 1</w:t>
            </w:r>
            <w:r w:rsidR="00547B03">
              <w:rPr>
                <w:rFonts w:eastAsia="Times New Roman" w:cs="Calibri"/>
                <w:color w:val="000000"/>
                <w:lang w:eastAsia="cs-CZ"/>
              </w:rPr>
              <w:t>/</w:t>
            </w:r>
            <w:r w:rsidR="0015081B">
              <w:rPr>
                <w:rFonts w:eastAsia="Times New Roman" w:cs="Calibri"/>
                <w:color w:val="000000"/>
                <w:lang w:eastAsia="cs-CZ"/>
              </w:rPr>
              <w:t>07 Štěpánek Netolický</w:t>
            </w:r>
          </w:p>
        </w:tc>
      </w:tr>
    </w:tbl>
    <w:p w:rsidR="00A425EB" w:rsidRPr="007C0A90" w:rsidRDefault="00A425EB" w:rsidP="00ED6825">
      <w:pPr>
        <w:rPr>
          <w:sz w:val="2"/>
        </w:rPr>
      </w:pPr>
    </w:p>
    <w:sectPr w:rsidR="00A425EB" w:rsidRPr="007C0A90" w:rsidSect="001C0C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7B1" w:rsidRDefault="003417B1" w:rsidP="00ED6825">
      <w:pPr>
        <w:spacing w:after="0" w:line="240" w:lineRule="auto"/>
      </w:pPr>
      <w:r>
        <w:separator/>
      </w:r>
    </w:p>
  </w:endnote>
  <w:endnote w:type="continuationSeparator" w:id="0">
    <w:p w:rsidR="003417B1" w:rsidRDefault="003417B1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7C" w:rsidRDefault="00D94C7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0D6" w:rsidRPr="00B35C0E" w:rsidRDefault="00E530D6" w:rsidP="00D300FF">
    <w:pPr>
      <w:pStyle w:val="Zpat"/>
      <w:ind w:left="284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7C" w:rsidRDefault="00D94C7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7B1" w:rsidRDefault="003417B1" w:rsidP="00ED6825">
      <w:pPr>
        <w:spacing w:after="0" w:line="240" w:lineRule="auto"/>
      </w:pPr>
      <w:r>
        <w:separator/>
      </w:r>
    </w:p>
  </w:footnote>
  <w:footnote w:type="continuationSeparator" w:id="0">
    <w:p w:rsidR="003417B1" w:rsidRDefault="003417B1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7C" w:rsidRDefault="00D94C7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8A0324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D94C7C">
      <w:rPr>
        <w:sz w:val="12"/>
        <w:szCs w:val="12"/>
      </w:rPr>
      <w:t>Města Třeboně</w:t>
    </w:r>
    <w:r w:rsidR="00376B09">
      <w:rPr>
        <w:sz w:val="12"/>
        <w:szCs w:val="12"/>
      </w:rPr>
      <w:t>,</w:t>
    </w:r>
    <w:r w:rsidR="00E3284D">
      <w:rPr>
        <w:sz w:val="12"/>
        <w:szCs w:val="12"/>
      </w:rPr>
      <w:t xml:space="preserve"> </w:t>
    </w:r>
    <w:r w:rsidRPr="00DC477F">
      <w:rPr>
        <w:sz w:val="12"/>
        <w:szCs w:val="12"/>
      </w:rPr>
      <w:t xml:space="preserve">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7C" w:rsidRDefault="00D94C7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2DE9"/>
    <w:multiLevelType w:val="hybridMultilevel"/>
    <w:tmpl w:val="C0228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215FD"/>
    <w:rsid w:val="00030B5C"/>
    <w:rsid w:val="000432D5"/>
    <w:rsid w:val="00047730"/>
    <w:rsid w:val="0005301C"/>
    <w:rsid w:val="000530B5"/>
    <w:rsid w:val="0007650C"/>
    <w:rsid w:val="000A4F49"/>
    <w:rsid w:val="000B4BCF"/>
    <w:rsid w:val="000D401C"/>
    <w:rsid w:val="000F642B"/>
    <w:rsid w:val="00112B49"/>
    <w:rsid w:val="001135E7"/>
    <w:rsid w:val="00130D67"/>
    <w:rsid w:val="001450A2"/>
    <w:rsid w:val="0015081B"/>
    <w:rsid w:val="00160106"/>
    <w:rsid w:val="00165300"/>
    <w:rsid w:val="00166C36"/>
    <w:rsid w:val="00174406"/>
    <w:rsid w:val="00176C68"/>
    <w:rsid w:val="00185594"/>
    <w:rsid w:val="00193317"/>
    <w:rsid w:val="00196537"/>
    <w:rsid w:val="001A77D0"/>
    <w:rsid w:val="001B0E54"/>
    <w:rsid w:val="001B2FA7"/>
    <w:rsid w:val="001C0CDB"/>
    <w:rsid w:val="001C6AD3"/>
    <w:rsid w:val="001D0403"/>
    <w:rsid w:val="001E1BDC"/>
    <w:rsid w:val="001E39C9"/>
    <w:rsid w:val="001E7033"/>
    <w:rsid w:val="00200EF7"/>
    <w:rsid w:val="0020214A"/>
    <w:rsid w:val="002051B3"/>
    <w:rsid w:val="002259D9"/>
    <w:rsid w:val="00225F66"/>
    <w:rsid w:val="002275D5"/>
    <w:rsid w:val="00232D44"/>
    <w:rsid w:val="00236D63"/>
    <w:rsid w:val="0023713B"/>
    <w:rsid w:val="00237D06"/>
    <w:rsid w:val="00245BCD"/>
    <w:rsid w:val="00252917"/>
    <w:rsid w:val="0026091E"/>
    <w:rsid w:val="002839DB"/>
    <w:rsid w:val="00283DF7"/>
    <w:rsid w:val="00290D70"/>
    <w:rsid w:val="00296BB5"/>
    <w:rsid w:val="002A6CBA"/>
    <w:rsid w:val="002E1934"/>
    <w:rsid w:val="002E1DA7"/>
    <w:rsid w:val="002E54EE"/>
    <w:rsid w:val="002F348E"/>
    <w:rsid w:val="00301EAE"/>
    <w:rsid w:val="0031194A"/>
    <w:rsid w:val="003244DC"/>
    <w:rsid w:val="003417B1"/>
    <w:rsid w:val="003477AF"/>
    <w:rsid w:val="00366F5F"/>
    <w:rsid w:val="00370E42"/>
    <w:rsid w:val="00376B09"/>
    <w:rsid w:val="003A191B"/>
    <w:rsid w:val="003A52ED"/>
    <w:rsid w:val="003A704E"/>
    <w:rsid w:val="003A79CD"/>
    <w:rsid w:val="003C1420"/>
    <w:rsid w:val="003C5FC0"/>
    <w:rsid w:val="003D1EA3"/>
    <w:rsid w:val="003E13FF"/>
    <w:rsid w:val="003E2DB7"/>
    <w:rsid w:val="003E76A7"/>
    <w:rsid w:val="003F1468"/>
    <w:rsid w:val="00406131"/>
    <w:rsid w:val="004113EC"/>
    <w:rsid w:val="004177CC"/>
    <w:rsid w:val="00433423"/>
    <w:rsid w:val="00436819"/>
    <w:rsid w:val="00450EDF"/>
    <w:rsid w:val="00462EAE"/>
    <w:rsid w:val="0047228E"/>
    <w:rsid w:val="00473E45"/>
    <w:rsid w:val="004A4865"/>
    <w:rsid w:val="004C3EFA"/>
    <w:rsid w:val="004C4C5A"/>
    <w:rsid w:val="004C7A3C"/>
    <w:rsid w:val="004E38E4"/>
    <w:rsid w:val="004E4C6D"/>
    <w:rsid w:val="004F66AF"/>
    <w:rsid w:val="00537277"/>
    <w:rsid w:val="00540B35"/>
    <w:rsid w:val="00547B03"/>
    <w:rsid w:val="00550925"/>
    <w:rsid w:val="00552068"/>
    <w:rsid w:val="00555978"/>
    <w:rsid w:val="00560717"/>
    <w:rsid w:val="00560A17"/>
    <w:rsid w:val="00577718"/>
    <w:rsid w:val="005B283C"/>
    <w:rsid w:val="005B69EA"/>
    <w:rsid w:val="005D5FE7"/>
    <w:rsid w:val="0060332F"/>
    <w:rsid w:val="00622A92"/>
    <w:rsid w:val="00641150"/>
    <w:rsid w:val="00643F0A"/>
    <w:rsid w:val="0064634F"/>
    <w:rsid w:val="00654250"/>
    <w:rsid w:val="00670597"/>
    <w:rsid w:val="006725F2"/>
    <w:rsid w:val="00696F3D"/>
    <w:rsid w:val="00697337"/>
    <w:rsid w:val="00697D26"/>
    <w:rsid w:val="006A0545"/>
    <w:rsid w:val="006A4955"/>
    <w:rsid w:val="006A4DCF"/>
    <w:rsid w:val="006C4851"/>
    <w:rsid w:val="006D24D1"/>
    <w:rsid w:val="006D3281"/>
    <w:rsid w:val="006E5BC9"/>
    <w:rsid w:val="00701D62"/>
    <w:rsid w:val="0071022E"/>
    <w:rsid w:val="00712A74"/>
    <w:rsid w:val="0072031F"/>
    <w:rsid w:val="00731B30"/>
    <w:rsid w:val="00741A00"/>
    <w:rsid w:val="007450B1"/>
    <w:rsid w:val="007553F9"/>
    <w:rsid w:val="007557BF"/>
    <w:rsid w:val="00764E9D"/>
    <w:rsid w:val="0076695A"/>
    <w:rsid w:val="007817A8"/>
    <w:rsid w:val="00782439"/>
    <w:rsid w:val="00796E08"/>
    <w:rsid w:val="007B168B"/>
    <w:rsid w:val="007C0A90"/>
    <w:rsid w:val="007C2C8A"/>
    <w:rsid w:val="007C5BEE"/>
    <w:rsid w:val="007C6A04"/>
    <w:rsid w:val="007C7227"/>
    <w:rsid w:val="007D0B7E"/>
    <w:rsid w:val="007D20B5"/>
    <w:rsid w:val="007E707B"/>
    <w:rsid w:val="00802DE5"/>
    <w:rsid w:val="008075A6"/>
    <w:rsid w:val="008076D9"/>
    <w:rsid w:val="008255C8"/>
    <w:rsid w:val="00837EF1"/>
    <w:rsid w:val="0084467C"/>
    <w:rsid w:val="00863B7C"/>
    <w:rsid w:val="008807B7"/>
    <w:rsid w:val="0088653A"/>
    <w:rsid w:val="00887F5E"/>
    <w:rsid w:val="008918EF"/>
    <w:rsid w:val="008965C3"/>
    <w:rsid w:val="008A0324"/>
    <w:rsid w:val="008A5F1F"/>
    <w:rsid w:val="008D355E"/>
    <w:rsid w:val="008E509A"/>
    <w:rsid w:val="00910B97"/>
    <w:rsid w:val="009217D3"/>
    <w:rsid w:val="009220D2"/>
    <w:rsid w:val="00931A1E"/>
    <w:rsid w:val="00933AB7"/>
    <w:rsid w:val="009340AC"/>
    <w:rsid w:val="0095199A"/>
    <w:rsid w:val="00954639"/>
    <w:rsid w:val="00956C5A"/>
    <w:rsid w:val="009664E0"/>
    <w:rsid w:val="00974A9D"/>
    <w:rsid w:val="00976C1B"/>
    <w:rsid w:val="009A3E0C"/>
    <w:rsid w:val="009B269C"/>
    <w:rsid w:val="009B5E29"/>
    <w:rsid w:val="009C0784"/>
    <w:rsid w:val="009C5329"/>
    <w:rsid w:val="009D0FBC"/>
    <w:rsid w:val="009D467E"/>
    <w:rsid w:val="009D643B"/>
    <w:rsid w:val="009E76E7"/>
    <w:rsid w:val="00A0486F"/>
    <w:rsid w:val="00A2042E"/>
    <w:rsid w:val="00A25F04"/>
    <w:rsid w:val="00A374AF"/>
    <w:rsid w:val="00A425EB"/>
    <w:rsid w:val="00A431EC"/>
    <w:rsid w:val="00A600AA"/>
    <w:rsid w:val="00A62C05"/>
    <w:rsid w:val="00A6446D"/>
    <w:rsid w:val="00A93239"/>
    <w:rsid w:val="00AA3431"/>
    <w:rsid w:val="00AA5398"/>
    <w:rsid w:val="00AA5624"/>
    <w:rsid w:val="00AA5940"/>
    <w:rsid w:val="00AB4BDA"/>
    <w:rsid w:val="00AC04AC"/>
    <w:rsid w:val="00AC2684"/>
    <w:rsid w:val="00AE0BDF"/>
    <w:rsid w:val="00AF35F3"/>
    <w:rsid w:val="00AF76A0"/>
    <w:rsid w:val="00B14074"/>
    <w:rsid w:val="00B1440B"/>
    <w:rsid w:val="00B25299"/>
    <w:rsid w:val="00B3177A"/>
    <w:rsid w:val="00B35C0E"/>
    <w:rsid w:val="00B4423B"/>
    <w:rsid w:val="00B501BD"/>
    <w:rsid w:val="00B700A8"/>
    <w:rsid w:val="00BA3B9F"/>
    <w:rsid w:val="00BB67FD"/>
    <w:rsid w:val="00BC199A"/>
    <w:rsid w:val="00BC7C55"/>
    <w:rsid w:val="00BD1D91"/>
    <w:rsid w:val="00BD335C"/>
    <w:rsid w:val="00BE5B8A"/>
    <w:rsid w:val="00C032FE"/>
    <w:rsid w:val="00C154BF"/>
    <w:rsid w:val="00C4141F"/>
    <w:rsid w:val="00C429BA"/>
    <w:rsid w:val="00C46D15"/>
    <w:rsid w:val="00C5198A"/>
    <w:rsid w:val="00C6046C"/>
    <w:rsid w:val="00C62ABE"/>
    <w:rsid w:val="00C633B7"/>
    <w:rsid w:val="00C70AF2"/>
    <w:rsid w:val="00C84EC6"/>
    <w:rsid w:val="00C904E7"/>
    <w:rsid w:val="00CE4F88"/>
    <w:rsid w:val="00D07293"/>
    <w:rsid w:val="00D225F4"/>
    <w:rsid w:val="00D23934"/>
    <w:rsid w:val="00D24F7F"/>
    <w:rsid w:val="00D2566E"/>
    <w:rsid w:val="00D300FF"/>
    <w:rsid w:val="00D3286E"/>
    <w:rsid w:val="00D41382"/>
    <w:rsid w:val="00D75268"/>
    <w:rsid w:val="00D80AD6"/>
    <w:rsid w:val="00D90717"/>
    <w:rsid w:val="00D9426F"/>
    <w:rsid w:val="00D94C7C"/>
    <w:rsid w:val="00D94DCF"/>
    <w:rsid w:val="00D9632C"/>
    <w:rsid w:val="00DA038B"/>
    <w:rsid w:val="00DB2F18"/>
    <w:rsid w:val="00DC7C9C"/>
    <w:rsid w:val="00DD6ABB"/>
    <w:rsid w:val="00DF21EA"/>
    <w:rsid w:val="00DF4C0A"/>
    <w:rsid w:val="00E04954"/>
    <w:rsid w:val="00E130DA"/>
    <w:rsid w:val="00E3284D"/>
    <w:rsid w:val="00E34CAA"/>
    <w:rsid w:val="00E40779"/>
    <w:rsid w:val="00E530D6"/>
    <w:rsid w:val="00E70902"/>
    <w:rsid w:val="00E77B97"/>
    <w:rsid w:val="00E87686"/>
    <w:rsid w:val="00EA426A"/>
    <w:rsid w:val="00EA4DCF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F0069C"/>
    <w:rsid w:val="00F01BB9"/>
    <w:rsid w:val="00F0692A"/>
    <w:rsid w:val="00F123F1"/>
    <w:rsid w:val="00F33A99"/>
    <w:rsid w:val="00F51EFC"/>
    <w:rsid w:val="00F5458C"/>
    <w:rsid w:val="00F67B5B"/>
    <w:rsid w:val="00F77F56"/>
    <w:rsid w:val="00F83366"/>
    <w:rsid w:val="00F85A24"/>
    <w:rsid w:val="00F9288B"/>
    <w:rsid w:val="00F959F0"/>
    <w:rsid w:val="00F96DBC"/>
    <w:rsid w:val="00FA0F27"/>
    <w:rsid w:val="00FB0AB3"/>
    <w:rsid w:val="00FB2D42"/>
    <w:rsid w:val="00FB6925"/>
    <w:rsid w:val="00FB7CBA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B28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28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283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8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8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4471-3477-4B56-BF00-872DF17D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29</cp:revision>
  <cp:lastPrinted>2012-10-01T12:46:00Z</cp:lastPrinted>
  <dcterms:created xsi:type="dcterms:W3CDTF">2015-03-25T13:42:00Z</dcterms:created>
  <dcterms:modified xsi:type="dcterms:W3CDTF">2015-04-07T22:12:00Z</dcterms:modified>
</cp:coreProperties>
</file>